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5E1F7" w14:textId="05673EF8" w:rsidR="00322055" w:rsidRPr="00322055" w:rsidRDefault="003934E8" w:rsidP="00322055">
      <w:pPr>
        <w:spacing w:afterLines="200" w:after="624"/>
        <w:jc w:val="center"/>
        <w:rPr>
          <w:rFonts w:ascii="黑体" w:eastAsia="黑体" w:hAnsi="黑体" w:cs="仿宋"/>
          <w:sz w:val="44"/>
          <w:szCs w:val="44"/>
        </w:rPr>
      </w:pPr>
      <w:r>
        <w:rPr>
          <w:rFonts w:ascii="黑体" w:eastAsia="黑体" w:hAnsi="黑体" w:cs="仿宋" w:hint="eastAsia"/>
          <w:sz w:val="44"/>
          <w:szCs w:val="44"/>
        </w:rPr>
        <w:t>济南微生态生物医学省实验室数</w:t>
      </w:r>
      <w:r w:rsidR="0003364A">
        <w:rPr>
          <w:rFonts w:ascii="黑体" w:eastAsia="黑体" w:hAnsi="黑体" w:cs="仿宋" w:hint="eastAsia"/>
          <w:sz w:val="44"/>
          <w:szCs w:val="44"/>
        </w:rPr>
        <w:t>网络安全</w:t>
      </w:r>
      <w:r>
        <w:rPr>
          <w:rFonts w:ascii="黑体" w:eastAsia="黑体" w:hAnsi="黑体" w:cs="仿宋" w:hint="eastAsia"/>
          <w:sz w:val="44"/>
          <w:szCs w:val="44"/>
        </w:rPr>
        <w:t>管理服务采购</w:t>
      </w:r>
      <w:bookmarkStart w:id="0" w:name="_GoBack"/>
      <w:bookmarkEnd w:id="0"/>
      <w:r w:rsidR="00322055" w:rsidRPr="00322055">
        <w:rPr>
          <w:rFonts w:ascii="黑体" w:eastAsia="黑体" w:hAnsi="黑体" w:cs="仿宋" w:hint="eastAsia"/>
          <w:sz w:val="44"/>
          <w:szCs w:val="44"/>
        </w:rPr>
        <w:t>需求</w:t>
      </w:r>
    </w:p>
    <w:p w14:paraId="27871106" w14:textId="18959C8B" w:rsidR="0003364A" w:rsidRDefault="0003364A" w:rsidP="0003364A">
      <w:pPr>
        <w:spacing w:line="560" w:lineRule="exact"/>
        <w:ind w:firstLineChars="200" w:firstLine="480"/>
      </w:pPr>
      <w:r>
        <w:rPr>
          <w:rFonts w:ascii="宋体" w:eastAsia="宋体" w:hAnsi="宋体" w:hint="eastAsia"/>
          <w:sz w:val="24"/>
        </w:rPr>
        <w:t>济南微生态生物医学省实验室在进行的相关研究中</w:t>
      </w:r>
      <w:r>
        <w:rPr>
          <w:rFonts w:ascii="宋体" w:eastAsia="宋体" w:hAnsi="宋体"/>
          <w:sz w:val="24"/>
        </w:rPr>
        <w:t>，涉及敏感科研数据，包括但不限于基因组数据、临床数据、微生物组数据等。为提升实验室网络安全防护水平，保障科研数据安全性与完整性，</w:t>
      </w:r>
      <w:r>
        <w:rPr>
          <w:rFonts w:ascii="宋体" w:eastAsia="宋体" w:hAnsi="宋体" w:hint="eastAsia"/>
          <w:sz w:val="24"/>
        </w:rPr>
        <w:t>拟通过</w:t>
      </w:r>
      <w:r>
        <w:rPr>
          <w:rFonts w:ascii="宋体" w:eastAsia="宋体" w:hAnsi="宋体"/>
          <w:sz w:val="24"/>
        </w:rPr>
        <w:t>技术交流会，筛选出最适合本实验室实际需求的安全防护解决方案，构建多层次、全方位的网络信息安全防护体系。</w:t>
      </w:r>
      <w:r w:rsidR="009817A4">
        <w:rPr>
          <w:rFonts w:ascii="宋体" w:eastAsia="宋体" w:hAnsi="宋体" w:hint="eastAsia"/>
          <w:sz w:val="24"/>
        </w:rPr>
        <w:t>基本需求如下：</w:t>
      </w:r>
    </w:p>
    <w:p w14:paraId="7453A6F7" w14:textId="74897626" w:rsidR="0003364A" w:rsidRDefault="0003364A" w:rsidP="0003364A">
      <w:r>
        <w:rPr>
          <w:rFonts w:ascii="黑体" w:eastAsia="黑体" w:hAnsi="黑体"/>
          <w:b/>
          <w:sz w:val="28"/>
        </w:rPr>
        <w:t>1</w:t>
      </w:r>
      <w:r>
        <w:rPr>
          <w:rFonts w:ascii="黑体" w:eastAsia="黑体" w:hAnsi="黑体" w:hint="eastAsia"/>
          <w:b/>
          <w:sz w:val="28"/>
        </w:rPr>
        <w:t>、</w:t>
      </w:r>
      <w:r>
        <w:rPr>
          <w:rFonts w:ascii="黑体" w:eastAsia="黑体" w:hAnsi="黑体"/>
          <w:b/>
          <w:sz w:val="28"/>
        </w:rPr>
        <w:t xml:space="preserve"> 防护架构设计</w:t>
      </w:r>
    </w:p>
    <w:p w14:paraId="48393D11" w14:textId="77777777" w:rsidR="0003364A" w:rsidRDefault="0003364A" w:rsidP="0003364A">
      <w:pPr>
        <w:spacing w:line="560" w:lineRule="exact"/>
      </w:pPr>
      <w:r>
        <w:rPr>
          <w:rFonts w:ascii="宋体" w:eastAsia="宋体" w:hAnsi="宋体"/>
          <w:sz w:val="24"/>
        </w:rPr>
        <w:t>请提供完整的安全防护架构设计方案，包括：</w:t>
      </w:r>
    </w:p>
    <w:p w14:paraId="56E883A0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整体安全架构设计图（需清晰展示各安全组件位置与数据流向）</w:t>
      </w:r>
    </w:p>
    <w:p w14:paraId="310E71C9" w14:textId="77777777" w:rsidR="0003364A" w:rsidRDefault="0003364A" w:rsidP="0003364A">
      <w:pPr>
        <w:spacing w:line="560" w:lineRule="exact"/>
        <w:ind w:firstLine="280"/>
      </w:pPr>
      <w:r>
        <w:rPr>
          <w:rFonts w:ascii="宋体" w:eastAsia="宋体" w:hAnsi="宋体"/>
          <w:sz w:val="24"/>
        </w:rPr>
        <w:t>分层防护措施说明：</w:t>
      </w:r>
    </w:p>
    <w:p w14:paraId="122FEBA3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网络层：防火墙、入侵检测/防御系统、网络隔离等</w:t>
      </w:r>
    </w:p>
    <w:p w14:paraId="536F87DB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主机层：终端安全、服务器加固、漏洞管理等</w:t>
      </w:r>
    </w:p>
    <w:p w14:paraId="78BBCCDF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应用层：Web 应用防火墙、应用安全测试等</w:t>
      </w:r>
    </w:p>
    <w:p w14:paraId="57AF91ED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数据层：数据加密、数据防泄漏、数据库审计等</w:t>
      </w:r>
    </w:p>
    <w:p w14:paraId="057E2850" w14:textId="77777777" w:rsidR="0003364A" w:rsidRPr="007D7157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安全设备/软件部署拓扑图与部署建议</w:t>
      </w:r>
    </w:p>
    <w:p w14:paraId="53DD382A" w14:textId="77777777" w:rsidR="0003364A" w:rsidRPr="0092348E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驻场工程师：协助进行安全防护</w:t>
      </w:r>
    </w:p>
    <w:p w14:paraId="68C07873" w14:textId="77777777" w:rsidR="0003364A" w:rsidRPr="00CE46D7" w:rsidRDefault="0003364A" w:rsidP="0003364A">
      <w:pPr>
        <w:pStyle w:val="a"/>
        <w:spacing w:line="560" w:lineRule="exact"/>
        <w:ind w:firstLine="48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其他在本方案中，未考虑到的也可列举</w:t>
      </w:r>
    </w:p>
    <w:p w14:paraId="4EEB9548" w14:textId="5C8DD568" w:rsidR="0003364A" w:rsidRDefault="0003364A" w:rsidP="0003364A">
      <w:r>
        <w:rPr>
          <w:rFonts w:ascii="黑体" w:eastAsia="黑体" w:hAnsi="黑体"/>
          <w:b/>
          <w:sz w:val="28"/>
        </w:rPr>
        <w:t>2</w:t>
      </w:r>
      <w:r>
        <w:rPr>
          <w:rFonts w:ascii="黑体" w:eastAsia="黑体" w:hAnsi="黑体" w:hint="eastAsia"/>
          <w:b/>
          <w:sz w:val="28"/>
        </w:rPr>
        <w:t>、</w:t>
      </w:r>
      <w:r>
        <w:rPr>
          <w:rFonts w:ascii="黑体" w:eastAsia="黑体" w:hAnsi="黑体"/>
          <w:b/>
          <w:sz w:val="28"/>
        </w:rPr>
        <w:t>核心技术能力</w:t>
      </w:r>
    </w:p>
    <w:p w14:paraId="3ECAC884" w14:textId="77777777" w:rsidR="0003364A" w:rsidRDefault="0003364A" w:rsidP="0003364A">
      <w:pPr>
        <w:spacing w:line="560" w:lineRule="exact"/>
      </w:pPr>
      <w:r>
        <w:rPr>
          <w:rFonts w:ascii="宋体" w:eastAsia="宋体" w:hAnsi="宋体"/>
          <w:sz w:val="24"/>
        </w:rPr>
        <w:t>详细说明贵司方案的核心技术能力：</w:t>
      </w:r>
    </w:p>
    <w:p w14:paraId="047B563C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威胁检测能力：入侵检测、异常行为分析、威胁情报利用、安全运营中心（SOC）等</w:t>
      </w:r>
    </w:p>
    <w:p w14:paraId="0AA7ECF4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lastRenderedPageBreak/>
        <w:t>数据防泄漏方案：DLP 技术、数据分类分级、敏感数据识别与保护</w:t>
      </w:r>
    </w:p>
    <w:p w14:paraId="673A061C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加密与脱敏技术：传输加密、存储加密、数据脱敏算法等</w:t>
      </w:r>
    </w:p>
    <w:p w14:paraId="3809463A" w14:textId="77777777" w:rsidR="0003364A" w:rsidRPr="000E0092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日志审计与溯源能力：日志采集、分析、存储周期、事件溯源等</w:t>
      </w:r>
    </w:p>
    <w:p w14:paraId="56D7E1AE" w14:textId="48A4613B" w:rsidR="0003364A" w:rsidRPr="00586926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流量检测能力等纵深防御体系</w:t>
      </w:r>
    </w:p>
    <w:p w14:paraId="572473F4" w14:textId="77777777" w:rsidR="00586926" w:rsidRPr="0092348E" w:rsidRDefault="00586926" w:rsidP="00586926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数据备份与灾难恢复：备份策略、容灾方案、恢复时间目标（RTO）与恢复点目标（RPO）</w:t>
      </w:r>
    </w:p>
    <w:p w14:paraId="050DBD74" w14:textId="34420F9D" w:rsidR="009817A4" w:rsidRPr="0092348E" w:rsidRDefault="009817A4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相较市场主流厂商的优劣势比较（必须提供）</w:t>
      </w:r>
    </w:p>
    <w:p w14:paraId="32F9BC69" w14:textId="77777777" w:rsidR="0003364A" w:rsidRPr="00CE46D7" w:rsidRDefault="0003364A" w:rsidP="0003364A">
      <w:pPr>
        <w:pStyle w:val="a"/>
        <w:spacing w:line="560" w:lineRule="exact"/>
        <w:ind w:firstLine="48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其他在本方案中，未考虑到的也可列举</w:t>
      </w:r>
    </w:p>
    <w:p w14:paraId="587D014B" w14:textId="39AEF929" w:rsidR="0003364A" w:rsidRDefault="0003364A" w:rsidP="0003364A">
      <w:r>
        <w:rPr>
          <w:rFonts w:ascii="黑体" w:eastAsia="黑体" w:hAnsi="黑体"/>
          <w:b/>
          <w:sz w:val="28"/>
        </w:rPr>
        <w:t>3</w:t>
      </w:r>
      <w:r>
        <w:rPr>
          <w:rFonts w:ascii="黑体" w:eastAsia="黑体" w:hAnsi="黑体" w:hint="eastAsia"/>
          <w:b/>
          <w:sz w:val="28"/>
        </w:rPr>
        <w:t>、</w:t>
      </w:r>
      <w:r>
        <w:rPr>
          <w:rFonts w:ascii="黑体" w:eastAsia="黑体" w:hAnsi="黑体"/>
          <w:b/>
          <w:sz w:val="28"/>
        </w:rPr>
        <w:t xml:space="preserve"> 预期效果说明</w:t>
      </w:r>
    </w:p>
    <w:p w14:paraId="4EA77788" w14:textId="77777777" w:rsidR="0003364A" w:rsidRDefault="0003364A" w:rsidP="0003364A">
      <w:pPr>
        <w:spacing w:line="560" w:lineRule="exact"/>
      </w:pPr>
      <w:r>
        <w:rPr>
          <w:rFonts w:ascii="宋体" w:eastAsia="宋体" w:hAnsi="宋体"/>
          <w:sz w:val="24"/>
        </w:rPr>
        <w:t>请明确量化说明以下指标：</w:t>
      </w:r>
    </w:p>
    <w:p w14:paraId="09A17BB8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能防护的攻击类型（具体列举，如 SQL 注入、XSS、DDoS、勒索软件等）</w:t>
      </w:r>
    </w:p>
    <w:p w14:paraId="1313F71F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安全风险降低程度（量化指标，如威胁检出率、误报率等）</w:t>
      </w:r>
    </w:p>
    <w:p w14:paraId="7FFC195A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可达成到的合规标准（</w:t>
      </w:r>
      <w:r>
        <w:rPr>
          <w:rFonts w:ascii="宋体" w:eastAsia="宋体" w:hAnsi="宋体" w:hint="eastAsia"/>
          <w:sz w:val="24"/>
          <w:lang w:eastAsia="zh-CN"/>
        </w:rPr>
        <w:t>三级等保</w:t>
      </w:r>
      <w:r>
        <w:rPr>
          <w:rFonts w:ascii="宋体" w:eastAsia="宋体" w:hAnsi="宋体"/>
          <w:sz w:val="24"/>
          <w:lang w:eastAsia="zh-CN"/>
        </w:rPr>
        <w:t>）</w:t>
      </w:r>
    </w:p>
    <w:p w14:paraId="0565A1A3" w14:textId="77777777" w:rsidR="0003364A" w:rsidRPr="00384A8D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服务响应时间承诺（检测时间、响应时间、恢复时间）</w:t>
      </w:r>
    </w:p>
    <w:p w14:paraId="26F69B25" w14:textId="77777777" w:rsidR="0003364A" w:rsidRPr="00CE46D7" w:rsidRDefault="0003364A" w:rsidP="0003364A">
      <w:pPr>
        <w:pStyle w:val="a"/>
        <w:spacing w:line="560" w:lineRule="exact"/>
        <w:ind w:firstLine="48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其他在本方案中，未考虑到的也可列举</w:t>
      </w:r>
    </w:p>
    <w:p w14:paraId="7696F990" w14:textId="38942285" w:rsidR="0003364A" w:rsidRDefault="0003364A" w:rsidP="0003364A">
      <w:r>
        <w:rPr>
          <w:rFonts w:ascii="黑体" w:eastAsia="黑体" w:hAnsi="黑体" w:hint="eastAsia"/>
          <w:b/>
          <w:sz w:val="30"/>
        </w:rPr>
        <w:t>4、</w:t>
      </w:r>
      <w:r>
        <w:rPr>
          <w:rFonts w:ascii="黑体" w:eastAsia="黑体" w:hAnsi="黑体"/>
          <w:b/>
          <w:sz w:val="30"/>
        </w:rPr>
        <w:t>运维维护方案</w:t>
      </w:r>
    </w:p>
    <w:p w14:paraId="18F0F12A" w14:textId="77777777" w:rsidR="0003364A" w:rsidRDefault="0003364A" w:rsidP="0003364A">
      <w:pPr>
        <w:spacing w:line="560" w:lineRule="exac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提供完整的运维维护方案：</w:t>
      </w:r>
    </w:p>
    <w:p w14:paraId="6E60A8CE" w14:textId="77777777" w:rsidR="0003364A" w:rsidRPr="00636222" w:rsidRDefault="0003364A" w:rsidP="0003364A">
      <w:pPr>
        <w:pStyle w:val="a"/>
        <w:spacing w:line="560" w:lineRule="exact"/>
        <w:ind w:firstLine="48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集群运维</w:t>
      </w:r>
    </w:p>
    <w:p w14:paraId="0D38CACB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日常巡检内容与频率（每日/每周/每月巡检项）</w:t>
      </w:r>
    </w:p>
    <w:p w14:paraId="56C88D36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安全更新与补丁管理策略</w:t>
      </w:r>
    </w:p>
    <w:p w14:paraId="66DE24AF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应急响应流程（是否提供 7×24 小时支持、响应级别划分）</w:t>
      </w:r>
    </w:p>
    <w:p w14:paraId="73324622" w14:textId="77777777" w:rsidR="0003364A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定期安全评估服务（漏洞扫描、渗透测试、安全审计等）</w:t>
      </w:r>
    </w:p>
    <w:p w14:paraId="6AB96A27" w14:textId="77777777" w:rsidR="0003364A" w:rsidRPr="00CE46D7" w:rsidRDefault="0003364A" w:rsidP="0003364A">
      <w:pPr>
        <w:pStyle w:val="a"/>
        <w:spacing w:line="560" w:lineRule="exact"/>
        <w:ind w:firstLine="48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lastRenderedPageBreak/>
        <w:t>人员培训方案（培训对象、培训内容、培训频率）</w:t>
      </w:r>
    </w:p>
    <w:p w14:paraId="24F3FE6A" w14:textId="5705003C" w:rsidR="006606B8" w:rsidRPr="0003364A" w:rsidRDefault="0003364A" w:rsidP="0003364A">
      <w:pPr>
        <w:pStyle w:val="a"/>
        <w:spacing w:line="560" w:lineRule="exact"/>
        <w:ind w:firstLine="48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其他在本方案中，未考虑到的也可列举</w:t>
      </w:r>
    </w:p>
    <w:sectPr w:rsidR="006606B8" w:rsidRPr="00033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4199C" w14:textId="77777777" w:rsidR="000C7FCD" w:rsidRDefault="000C7FCD" w:rsidP="00322055">
      <w:r>
        <w:separator/>
      </w:r>
    </w:p>
  </w:endnote>
  <w:endnote w:type="continuationSeparator" w:id="0">
    <w:p w14:paraId="59619954" w14:textId="77777777" w:rsidR="000C7FCD" w:rsidRDefault="000C7FCD" w:rsidP="0032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3E4FA" w14:textId="77777777" w:rsidR="000C7FCD" w:rsidRDefault="000C7FCD" w:rsidP="00322055">
      <w:r>
        <w:separator/>
      </w:r>
    </w:p>
  </w:footnote>
  <w:footnote w:type="continuationSeparator" w:id="0">
    <w:p w14:paraId="4061A2B6" w14:textId="77777777" w:rsidR="000C7FCD" w:rsidRDefault="000C7FCD" w:rsidP="0032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80D6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B94626"/>
    <w:multiLevelType w:val="hybridMultilevel"/>
    <w:tmpl w:val="E4461562"/>
    <w:lvl w:ilvl="0" w:tplc="732E259A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B8"/>
    <w:rsid w:val="0003364A"/>
    <w:rsid w:val="000B7A26"/>
    <w:rsid w:val="000C7FCD"/>
    <w:rsid w:val="001519EB"/>
    <w:rsid w:val="001B06B2"/>
    <w:rsid w:val="002667D2"/>
    <w:rsid w:val="00322055"/>
    <w:rsid w:val="00325A84"/>
    <w:rsid w:val="0034317E"/>
    <w:rsid w:val="003934E8"/>
    <w:rsid w:val="003D1148"/>
    <w:rsid w:val="0045297C"/>
    <w:rsid w:val="00463263"/>
    <w:rsid w:val="00586926"/>
    <w:rsid w:val="005E05EF"/>
    <w:rsid w:val="006606B8"/>
    <w:rsid w:val="00702900"/>
    <w:rsid w:val="009817A4"/>
    <w:rsid w:val="009F171D"/>
    <w:rsid w:val="00AF48EC"/>
    <w:rsid w:val="00B10685"/>
    <w:rsid w:val="00B36EBC"/>
    <w:rsid w:val="00D43AC9"/>
    <w:rsid w:val="00DC5BF3"/>
    <w:rsid w:val="00DD5E5D"/>
    <w:rsid w:val="00EC56A8"/>
    <w:rsid w:val="00EE595C"/>
    <w:rsid w:val="00F32003"/>
    <w:rsid w:val="00F5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16865"/>
  <w15:chartTrackingRefBased/>
  <w15:docId w15:val="{B2260069-BEBE-4B84-AAEA-2A87DD8A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606B8"/>
    <w:pPr>
      <w:ind w:firstLineChars="200" w:firstLine="420"/>
    </w:pPr>
  </w:style>
  <w:style w:type="character" w:styleId="a5">
    <w:name w:val="annotation reference"/>
    <w:basedOn w:val="a1"/>
    <w:uiPriority w:val="99"/>
    <w:semiHidden/>
    <w:unhideWhenUsed/>
    <w:rsid w:val="00463263"/>
    <w:rPr>
      <w:sz w:val="21"/>
      <w:szCs w:val="21"/>
    </w:rPr>
  </w:style>
  <w:style w:type="paragraph" w:styleId="a6">
    <w:name w:val="annotation text"/>
    <w:basedOn w:val="a0"/>
    <w:link w:val="a7"/>
    <w:uiPriority w:val="99"/>
    <w:semiHidden/>
    <w:unhideWhenUsed/>
    <w:rsid w:val="00463263"/>
    <w:pPr>
      <w:jc w:val="left"/>
    </w:pPr>
  </w:style>
  <w:style w:type="character" w:customStyle="1" w:styleId="a7">
    <w:name w:val="批注文字 字符"/>
    <w:basedOn w:val="a1"/>
    <w:link w:val="a6"/>
    <w:uiPriority w:val="99"/>
    <w:semiHidden/>
    <w:rsid w:val="00463263"/>
  </w:style>
  <w:style w:type="paragraph" w:styleId="a8">
    <w:name w:val="annotation subject"/>
    <w:basedOn w:val="a6"/>
    <w:next w:val="a6"/>
    <w:link w:val="a9"/>
    <w:uiPriority w:val="99"/>
    <w:semiHidden/>
    <w:unhideWhenUsed/>
    <w:rsid w:val="0046326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463263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463263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463263"/>
    <w:rPr>
      <w:sz w:val="18"/>
      <w:szCs w:val="18"/>
    </w:rPr>
  </w:style>
  <w:style w:type="paragraph" w:styleId="ac">
    <w:name w:val="Revision"/>
    <w:hidden/>
    <w:uiPriority w:val="99"/>
    <w:semiHidden/>
    <w:rsid w:val="00B36EBC"/>
  </w:style>
  <w:style w:type="paragraph" w:styleId="ad">
    <w:name w:val="header"/>
    <w:basedOn w:val="a0"/>
    <w:link w:val="ae"/>
    <w:uiPriority w:val="99"/>
    <w:unhideWhenUsed/>
    <w:rsid w:val="003220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1"/>
    <w:link w:val="ad"/>
    <w:uiPriority w:val="99"/>
    <w:rsid w:val="00322055"/>
    <w:rPr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322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1"/>
    <w:link w:val="af"/>
    <w:uiPriority w:val="99"/>
    <w:rsid w:val="00322055"/>
    <w:rPr>
      <w:sz w:val="18"/>
      <w:szCs w:val="18"/>
    </w:rPr>
  </w:style>
  <w:style w:type="paragraph" w:styleId="a">
    <w:name w:val="List Bullet"/>
    <w:basedOn w:val="a0"/>
    <w:uiPriority w:val="99"/>
    <w:unhideWhenUsed/>
    <w:rsid w:val="0003364A"/>
    <w:pPr>
      <w:widowControl/>
      <w:numPr>
        <w:numId w:val="2"/>
      </w:numPr>
      <w:spacing w:after="200" w:line="276" w:lineRule="auto"/>
      <w:contextualSpacing/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7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Kunkai Su</dc:creator>
  <cp:keywords/>
  <dc:description/>
  <cp:lastModifiedBy>Lenovo</cp:lastModifiedBy>
  <cp:revision>4</cp:revision>
  <dcterms:created xsi:type="dcterms:W3CDTF">2026-04-01T07:58:00Z</dcterms:created>
  <dcterms:modified xsi:type="dcterms:W3CDTF">2026-04-02T02:09:00Z</dcterms:modified>
</cp:coreProperties>
</file>